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D9" w:rsidRDefault="00A651D9" w:rsidP="004F0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5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Информация</w:t>
      </w:r>
    </w:p>
    <w:p w:rsidR="004F00E7" w:rsidRDefault="00A651D9" w:rsidP="004F0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5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 итогах летнего периода проведения в Камчатском крае</w:t>
      </w:r>
    </w:p>
    <w:p w:rsidR="00A651D9" w:rsidRDefault="00A651D9" w:rsidP="004F00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51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Всероссийской акции «Безопасность детства – 2019»</w:t>
      </w:r>
    </w:p>
    <w:p w:rsidR="00A651D9" w:rsidRPr="00A651D9" w:rsidRDefault="00A651D9" w:rsidP="00A651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4460" w:rsidRDefault="0012446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ервый этап Всероссийской ак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ции «Безопасность детства - 2019» проводился с</w:t>
      </w:r>
      <w:r w:rsidR="002334F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 июня 2019 года по 31 августа 2019 года (летний период)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30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решению межведомственного совещания от 30.07.2019 в Камчатском крае данный период Акции был продлен до 10 сентября 2019 года включительно.</w:t>
      </w:r>
    </w:p>
    <w:p w:rsidR="002334F0" w:rsidRPr="00145AE8" w:rsidRDefault="00F9387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Положению о поведении Всероссийской акции «Безопасность детства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– Акция), утвержденного 29.05.2019 года Уполномоченным при Президенте Российской Федерации по правам ребенка А.Ю. Кузнецовой, ц</w:t>
      </w:r>
      <w:r w:rsidR="005F62B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 А</w:t>
      </w:r>
      <w:r w:rsidR="002334F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кции</w:t>
      </w:r>
      <w:r w:rsidR="005F62B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является</w:t>
      </w:r>
      <w:r w:rsidR="002334F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проведение мероприятий, направленных на профилактику чрезвычайных происшествий с несовершеннолетними.</w:t>
      </w:r>
    </w:p>
    <w:p w:rsidR="005F62B0" w:rsidRPr="00145AE8" w:rsidRDefault="00F9387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Поставлены основные задачи</w:t>
      </w:r>
      <w:r w:rsidR="005F62B0"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F62B0" w:rsidRPr="00145AE8" w:rsidRDefault="005F62B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выявить объекты, представляющие угрозу жизни и здоровью находящихся на них несовершеннолетних;</w:t>
      </w:r>
    </w:p>
    <w:p w:rsidR="005F62B0" w:rsidRPr="00145AE8" w:rsidRDefault="005F62B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информировать об опасных объектах органы власти для устранения выявленных нарушений;</w:t>
      </w:r>
    </w:p>
    <w:p w:rsidR="002334F0" w:rsidRPr="00145AE8" w:rsidRDefault="005F62B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осуществлять контроль за реализацией принятых мер, направленных на устранение нарушений;</w:t>
      </w:r>
    </w:p>
    <w:p w:rsidR="005F62B0" w:rsidRPr="00145AE8" w:rsidRDefault="005F62B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популяризировать профилактические меры, направленные на безопасность жизнедеятельности человека, среди несовершеннолетних и их родителей;</w:t>
      </w:r>
    </w:p>
    <w:p w:rsidR="005F62B0" w:rsidRDefault="005F62B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5A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вовлечь заинтересованные стороны для участия в Акции, в том числе несовершеннолетних, с целью организации досуговой деятельности.</w:t>
      </w:r>
    </w:p>
    <w:p w:rsidR="00F93870" w:rsidRDefault="00F93870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Камчатском крае Акция охватила все муниципальные образования. Созданы специальные рабочие группы </w:t>
      </w:r>
      <w:r w:rsidR="00F9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участии представителей ведомств Камчатского края (УМВД России по Камчатскому краю, МЧС России по Камчатскому краю, Министерство здравоохранения Камчатского края, Министерство спорта Камчатского края, Министерство образования и молодежной политики Камчатского края</w:t>
      </w:r>
      <w:r w:rsidR="00B2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т.д.</w:t>
      </w:r>
      <w:r w:rsidR="00F923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F9238D" w:rsidRPr="00F9238D" w:rsidRDefault="00307238" w:rsidP="00F9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</w:t>
      </w:r>
      <w:r w:rsidR="00F9238D" w:rsidRP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рамках акции 5 июня 2019 года были вручены родителям детей с ментальными нарушениями часы с возможностью определения родителями месторасположения детей. За счет краевого бюджета закуплены и розданы первые </w:t>
      </w:r>
      <w:r w:rsid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 комплектов таких устройств. </w:t>
      </w:r>
      <w:r w:rsidR="00F9238D" w:rsidRP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инициатива была внедрена также по предложению Следственного комитета по Камчатскому краю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9238D" w:rsidRP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осуществляется мониторинг реализации данного проекта.</w:t>
      </w:r>
    </w:p>
    <w:p w:rsidR="00F9238D" w:rsidRPr="00F9238D" w:rsidRDefault="00F9238D" w:rsidP="00F92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безопасности детских, спортивных площадок необходимо отметить, что Уполномоченным по правам ребенка в Камчатском крае в мае текущего года направлены запросы во все муниципальные образования Камчатского края с целью составления единого реестра детских площадок, определения должностных лиц, ответственных за состояние данных объектов, уточнения периодичности их осмотра. Кроме того, общественной организацией "Молодежка ОНФ" проводи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F923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мониторинг как детских и спортивных площадок, так и заброшенных строений.</w:t>
      </w:r>
    </w:p>
    <w:p w:rsidR="0013121D" w:rsidRDefault="0013121D" w:rsidP="0013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рамках акции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</w:t>
      </w:r>
      <w:r w:rsidRPr="0013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рейды в местах массового отдыха семей с детьми, проверяются на предмет безопасности парки,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</w:t>
      </w:r>
      <w:r w:rsidRPr="0013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места для купания, детские площадки и игровые комплексы, торгово-развлекательные центры и аттракционы. </w:t>
      </w:r>
    </w:p>
    <w:p w:rsidR="0013121D" w:rsidRPr="0013121D" w:rsidRDefault="0013121D" w:rsidP="001312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2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</w:t>
      </w:r>
      <w:r w:rsidR="003708D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лось</w:t>
      </w:r>
      <w:r w:rsidRPr="00131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выявлению потенциально опасных мест, которые могут представлять угрозу здоровью и жизни детей и взрослых, таких как заброшенные стройки, аварийные здания и сооружения, неогороженные места проведения аварийных работ, незакрытые колодцы и многие другие бесхозные объекты с открытым доступом.</w:t>
      </w:r>
    </w:p>
    <w:p w:rsidR="00F9238D" w:rsidRDefault="0013121D" w:rsidP="002334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 з</w:t>
      </w:r>
      <w:r w:rsidR="00B2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период проведения первого этапа Акции проверено 2</w:t>
      </w:r>
      <w:r w:rsidR="0030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053</w:t>
      </w:r>
      <w:r w:rsidR="00B232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объекта, в том числе: 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детские площадки – 496 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спортивные площадки – 149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лагеря дневного пребывания и прилегающие к ним территории – </w:t>
      </w:r>
      <w:r w:rsidR="0046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140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загородные оздоровительные лагеря</w:t>
      </w:r>
      <w:r w:rsidR="0046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27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торгово-развлекательные центры – </w:t>
      </w:r>
      <w:r w:rsidR="0030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парки, скверы</w:t>
      </w:r>
      <w:r w:rsidR="00124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места отдыха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62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образовательные организации и прилегающие к ним территории – </w:t>
      </w:r>
      <w:r w:rsidR="004645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257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недостроенные и заброшенные здания и сооружения – 238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чердачные и подвальные помещения – 415</w:t>
      </w:r>
    </w:p>
    <w:p w:rsidR="00B232D5" w:rsidRDefault="00B232D5" w:rsidP="00CC03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иные объекты - 2</w:t>
      </w:r>
      <w:r w:rsidR="003072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53</w:t>
      </w:r>
    </w:p>
    <w:p w:rsidR="00835EBB" w:rsidRDefault="00124460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проверок были выявлен ряд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нарушения</w:t>
      </w:r>
      <w:r w:rsidR="00835EBB" w:rsidRP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чем Уполномоченным 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рации муниципальных организаций н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аправлены обращения с требованием устранить нарушения</w:t>
      </w:r>
      <w:r w:rsidR="0037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- 12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отмеча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сломанного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неисправного</w:t>
      </w:r>
      <w:r w:rsidR="00835EBB" w:rsidRPr="00BF5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оборудования на детских и спортивных площадках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7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Повторно</w:t>
      </w:r>
      <w:r w:rsidR="00A0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</w:t>
      </w:r>
      <w:r w:rsidR="0037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 </w:t>
      </w:r>
      <w:r w:rsidR="0037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с целью контроля у</w:t>
      </w:r>
      <w:r w:rsidR="00A01F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странения недостатков, 24 объекта выявленные недостатки не устранены.</w:t>
      </w:r>
    </w:p>
    <w:p w:rsidR="003708DF" w:rsidRDefault="00835EBB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</w:t>
      </w:r>
      <w:r w:rsidR="00674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выявленных нарушений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708DF" w:rsidRDefault="003708DF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освещения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47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708DF" w:rsidRDefault="003708DF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свободный доступ на объекты повышенного риска (крыши, заброшенные объекты) – 353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35EBB" w:rsidRDefault="003708DF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35E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пожарная безопасность, замусоренные территории, канализационные люки, разрушенные группы построек – 53.</w:t>
      </w:r>
    </w:p>
    <w:p w:rsidR="00835EBB" w:rsidRDefault="00835EBB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рейдов силами участников Акции были устранены выявленные недостатки такие как установка предупреждающих</w:t>
      </w:r>
      <w:r w:rsidR="00370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знаков (конструкций, ограждений) - 16, отремонтированы конструкции - 10, убрана территория - 7, окошена трава – 9.</w:t>
      </w:r>
    </w:p>
    <w:p w:rsidR="009842AE" w:rsidRDefault="00A01F8A" w:rsidP="00835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 летних каникул на горячую линию </w:t>
      </w:r>
      <w:r w:rsid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Уполномоченного по правам ребенка в Камчатском крае 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 w:rsid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населения о случаях возникновения угрозы для жизни и здоровья несовершеннолетних</w:t>
      </w:r>
      <w:r w:rsid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сообщений, актуальных из них </w:t>
      </w:r>
      <w:r w:rsidR="00124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сообщения.</w:t>
      </w:r>
      <w:r w:rsidR="0098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летний период в Камчатском крае травмировано более 600 несовершеннолетних детей.</w:t>
      </w:r>
    </w:p>
    <w:p w:rsidR="00702AB0" w:rsidRDefault="00702AB0" w:rsidP="00702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июля 2019 года в Камчатском крае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открыта «Школа безопасности»</w:t>
      </w:r>
      <w:r w:rsidRP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 и их родителей, бабушек и дедушек для обучения навыкам оказания первой помощи</w:t>
      </w:r>
      <w:r w:rsidR="0098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</w:t>
      </w:r>
      <w:r w:rsidRP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комплексной безопасности и др.</w:t>
      </w:r>
      <w:r w:rsidR="0098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сентября 2019 года </w:t>
      </w:r>
      <w:r w:rsidR="00984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проведен первый семинар на базе Камчатского центра социальной помощи семье и детям.</w:t>
      </w:r>
    </w:p>
    <w:p w:rsidR="00702AB0" w:rsidRDefault="00702AB0" w:rsidP="00702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проведения летней оздоровительной кампании 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лась </w:t>
      </w:r>
      <w:r w:rsidRPr="00702A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информационно-разъяснительная работа, среди детей по вопросам безопасности с привле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чением специалистов МЧС, ГИБДД, ПДН, УМВД.</w:t>
      </w:r>
    </w:p>
    <w:p w:rsidR="00702AB0" w:rsidRPr="00702AB0" w:rsidRDefault="00702AB0" w:rsidP="00702AB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2AB0">
        <w:rPr>
          <w:rFonts w:ascii="Times New Roman" w:hAnsi="Times New Roman" w:cs="Times New Roman"/>
          <w:sz w:val="28"/>
          <w:szCs w:val="28"/>
        </w:rPr>
        <w:t xml:space="preserve">10 августа и 10 сентября 2019 года </w:t>
      </w:r>
      <w:r>
        <w:rPr>
          <w:rFonts w:ascii="Times New Roman" w:hAnsi="Times New Roman" w:cs="Times New Roman"/>
          <w:sz w:val="28"/>
          <w:szCs w:val="28"/>
        </w:rPr>
        <w:t xml:space="preserve">были </w:t>
      </w:r>
      <w:r w:rsidRPr="00702AB0">
        <w:rPr>
          <w:rFonts w:ascii="Times New Roman" w:hAnsi="Times New Roman" w:cs="Times New Roman"/>
          <w:sz w:val="28"/>
          <w:szCs w:val="28"/>
        </w:rPr>
        <w:t xml:space="preserve">объявлены Едиными днями безопасности в Камчатском крае. </w:t>
      </w:r>
    </w:p>
    <w:p w:rsidR="00A651D9" w:rsidRDefault="00702AB0" w:rsidP="00A6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Акции были подведены на межведомственном совещании, </w:t>
      </w:r>
      <w:r w:rsidR="0012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состоялось 16 сентября 2019 года </w:t>
      </w:r>
      <w:r w:rsidR="00125397" w:rsidRPr="00702AB0">
        <w:rPr>
          <w:rFonts w:ascii="Times New Roman" w:hAnsi="Times New Roman" w:cs="Times New Roman"/>
          <w:sz w:val="28"/>
          <w:szCs w:val="28"/>
        </w:rPr>
        <w:t>под председательством Уполномоченного по правам ребенка в Камчатском крае</w:t>
      </w:r>
      <w:r w:rsidR="007E2C7F">
        <w:rPr>
          <w:rFonts w:ascii="Times New Roman" w:hAnsi="Times New Roman" w:cs="Times New Roman"/>
          <w:sz w:val="28"/>
          <w:szCs w:val="28"/>
        </w:rPr>
        <w:t>, которое</w:t>
      </w:r>
      <w:r w:rsidR="00125397" w:rsidRPr="00702AB0">
        <w:rPr>
          <w:rFonts w:ascii="Times New Roman" w:hAnsi="Times New Roman" w:cs="Times New Roman"/>
          <w:sz w:val="28"/>
          <w:szCs w:val="28"/>
        </w:rPr>
        <w:t xml:space="preserve"> проходило в </w:t>
      </w:r>
      <w:proofErr w:type="spellStart"/>
      <w:r w:rsidR="00125397" w:rsidRPr="00702AB0">
        <w:rPr>
          <w:rFonts w:ascii="Times New Roman" w:hAnsi="Times New Roman" w:cs="Times New Roman"/>
          <w:sz w:val="28"/>
          <w:szCs w:val="28"/>
        </w:rPr>
        <w:t>видеоселекторном</w:t>
      </w:r>
      <w:proofErr w:type="spellEnd"/>
      <w:r w:rsidR="00125397" w:rsidRPr="00702AB0">
        <w:rPr>
          <w:rFonts w:ascii="Times New Roman" w:hAnsi="Times New Roman" w:cs="Times New Roman"/>
          <w:sz w:val="28"/>
          <w:szCs w:val="28"/>
        </w:rPr>
        <w:t xml:space="preserve"> режиме </w:t>
      </w:r>
      <w:r w:rsidR="007E2C7F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="00125397" w:rsidRPr="00702AB0">
        <w:rPr>
          <w:rFonts w:ascii="Times New Roman" w:hAnsi="Times New Roman" w:cs="Times New Roman"/>
          <w:sz w:val="28"/>
          <w:szCs w:val="28"/>
        </w:rPr>
        <w:t>представител</w:t>
      </w:r>
      <w:r w:rsidR="00124460">
        <w:rPr>
          <w:rFonts w:ascii="Times New Roman" w:hAnsi="Times New Roman" w:cs="Times New Roman"/>
          <w:sz w:val="28"/>
          <w:szCs w:val="28"/>
        </w:rPr>
        <w:t>ей</w:t>
      </w:r>
      <w:r w:rsidR="00125397" w:rsidRPr="00702AB0">
        <w:rPr>
          <w:rFonts w:ascii="Times New Roman" w:hAnsi="Times New Roman" w:cs="Times New Roman"/>
          <w:sz w:val="28"/>
          <w:szCs w:val="28"/>
        </w:rPr>
        <w:t xml:space="preserve"> контрольно-надзорных органов, органов исполнительной власти, Законодательного собрания, Глав и представител</w:t>
      </w:r>
      <w:r w:rsidR="007E2C7F">
        <w:rPr>
          <w:rFonts w:ascii="Times New Roman" w:hAnsi="Times New Roman" w:cs="Times New Roman"/>
          <w:sz w:val="28"/>
          <w:szCs w:val="28"/>
        </w:rPr>
        <w:t>ей</w:t>
      </w:r>
      <w:r w:rsidR="00125397" w:rsidRPr="00702AB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Камчатского края.</w:t>
      </w:r>
      <w:r w:rsidR="00A651D9">
        <w:rPr>
          <w:rFonts w:ascii="Times New Roman" w:hAnsi="Times New Roman" w:cs="Times New Roman"/>
          <w:sz w:val="28"/>
          <w:szCs w:val="28"/>
        </w:rPr>
        <w:t xml:space="preserve"> В соответствии с принятым решением, составлен реестр объектов, представляющих угрозу детям, в том числе бесхозных площадок для дальнейшей работы под контролем депутатского корпуса региона.</w:t>
      </w:r>
    </w:p>
    <w:p w:rsidR="004F1972" w:rsidRDefault="007E2C7F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 w:rsidR="00125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 Акции будет проведен в Камчатском крае в период с ноября 2019 года по март 2020 года.</w:t>
      </w: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6316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4A1E" w:rsidRDefault="009E4A1E" w:rsidP="009E4A1E">
      <w:pPr>
        <w:tabs>
          <w:tab w:val="left" w:pos="3405"/>
        </w:tabs>
        <w:ind w:firstLine="709"/>
        <w:jc w:val="center"/>
        <w:rPr>
          <w:b/>
        </w:rPr>
        <w:sectPr w:rsidR="009E4A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4A1E" w:rsidRPr="009E4A1E" w:rsidRDefault="009E4A1E" w:rsidP="009E4A1E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1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9E4A1E" w:rsidRPr="009E4A1E" w:rsidRDefault="009E4A1E" w:rsidP="009E4A1E">
      <w:pPr>
        <w:tabs>
          <w:tab w:val="left" w:pos="340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1E">
        <w:rPr>
          <w:rFonts w:ascii="Times New Roman" w:hAnsi="Times New Roman" w:cs="Times New Roman"/>
          <w:b/>
          <w:sz w:val="28"/>
          <w:szCs w:val="28"/>
        </w:rPr>
        <w:t>о проведенной работе в Камчатском крае в рамках Всероссийской акции «Безопасность детства – 2019»</w:t>
      </w:r>
    </w:p>
    <w:p w:rsidR="009E4A1E" w:rsidRPr="008168AC" w:rsidRDefault="009E4A1E" w:rsidP="009E4A1E">
      <w:pPr>
        <w:tabs>
          <w:tab w:val="left" w:pos="3405"/>
        </w:tabs>
        <w:ind w:firstLine="709"/>
        <w:jc w:val="center"/>
        <w:rPr>
          <w:b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7"/>
        <w:gridCol w:w="1701"/>
        <w:gridCol w:w="2552"/>
        <w:gridCol w:w="2551"/>
        <w:gridCol w:w="3326"/>
        <w:gridCol w:w="3053"/>
        <w:gridCol w:w="992"/>
      </w:tblGrid>
      <w:tr w:rsidR="009E4A1E" w:rsidRPr="009E4A1E" w:rsidTr="00D4346E">
        <w:trPr>
          <w:trHeight w:val="255"/>
          <w:jc w:val="center"/>
        </w:trPr>
        <w:tc>
          <w:tcPr>
            <w:tcW w:w="562" w:type="dxa"/>
            <w:vMerge w:val="restart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9E4A1E" w:rsidRPr="009E4A1E" w:rsidRDefault="009E4A1E" w:rsidP="009E4A1E">
            <w:pPr>
              <w:tabs>
                <w:tab w:val="left" w:pos="0"/>
                <w:tab w:val="left" w:pos="1485"/>
              </w:tabs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992" w:type="dxa"/>
            <w:vMerge w:val="restart"/>
          </w:tcPr>
          <w:p w:rsidR="009E4A1E" w:rsidRPr="009E4A1E" w:rsidRDefault="009E4A1E" w:rsidP="009E4A1E">
            <w:pPr>
              <w:tabs>
                <w:tab w:val="left" w:pos="1545"/>
              </w:tabs>
              <w:spacing w:after="0" w:line="240" w:lineRule="auto"/>
              <w:ind w:right="6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ИТОГО</w:t>
            </w:r>
          </w:p>
        </w:tc>
      </w:tr>
      <w:tr w:rsidR="009E4A1E" w:rsidRPr="009E4A1E" w:rsidTr="00D4346E">
        <w:trPr>
          <w:trHeight w:val="255"/>
          <w:jc w:val="center"/>
        </w:trPr>
        <w:tc>
          <w:tcPr>
            <w:tcW w:w="562" w:type="dxa"/>
            <w:vMerge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июнь</w:t>
            </w:r>
            <w:bookmarkStart w:id="0" w:name="_GoBack"/>
            <w:bookmarkEnd w:id="0"/>
          </w:p>
        </w:tc>
        <w:tc>
          <w:tcPr>
            <w:tcW w:w="3326" w:type="dxa"/>
            <w:shd w:val="clear" w:color="auto" w:fill="auto"/>
          </w:tcPr>
          <w:p w:rsidR="009E4A1E" w:rsidRPr="009E4A1E" w:rsidRDefault="009E4A1E" w:rsidP="009E4A1E">
            <w:pPr>
              <w:tabs>
                <w:tab w:val="left" w:pos="-43"/>
                <w:tab w:val="left" w:pos="0"/>
                <w:tab w:val="left" w:pos="1485"/>
              </w:tabs>
              <w:spacing w:after="0" w:line="240" w:lineRule="auto"/>
              <w:ind w:right="110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tabs>
                <w:tab w:val="left" w:pos="0"/>
                <w:tab w:val="left" w:pos="1485"/>
              </w:tabs>
              <w:spacing w:after="0" w:line="240" w:lineRule="auto"/>
              <w:ind w:right="-32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август-сентябрь</w:t>
            </w:r>
          </w:p>
        </w:tc>
        <w:tc>
          <w:tcPr>
            <w:tcW w:w="992" w:type="dxa"/>
            <w:vMerge/>
          </w:tcPr>
          <w:p w:rsidR="009E4A1E" w:rsidRPr="009E4A1E" w:rsidRDefault="009E4A1E" w:rsidP="009E4A1E">
            <w:pPr>
              <w:tabs>
                <w:tab w:val="left" w:pos="510"/>
                <w:tab w:val="left" w:pos="1348"/>
              </w:tabs>
              <w:spacing w:after="0" w:line="240" w:lineRule="auto"/>
              <w:ind w:right="1194"/>
              <w:rPr>
                <w:rFonts w:ascii="Times New Roman" w:hAnsi="Times New Roman" w:cs="Times New Roman"/>
              </w:rPr>
            </w:pPr>
          </w:p>
        </w:tc>
      </w:tr>
      <w:tr w:rsidR="009E4A1E" w:rsidRPr="009E4A1E" w:rsidTr="00D4346E">
        <w:trPr>
          <w:trHeight w:val="374"/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проверенных объектов в регионе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475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520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2053</w:t>
            </w:r>
          </w:p>
        </w:tc>
      </w:tr>
      <w:tr w:rsidR="009E4A1E" w:rsidRPr="009E4A1E" w:rsidTr="009E4A1E">
        <w:trPr>
          <w:trHeight w:val="377"/>
          <w:jc w:val="center"/>
        </w:trPr>
        <w:tc>
          <w:tcPr>
            <w:tcW w:w="562" w:type="dxa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детские площадки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230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496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спортивные площадки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149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лагеря дневного пребывания и прилегающие к ним территории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49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140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Загородные оздоровительные лагеря 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Торгово-развлекательные центры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Парки, скверы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19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20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23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9E4A1E" w:rsidRPr="009E4A1E" w:rsidTr="00D4346E">
        <w:trPr>
          <w:trHeight w:val="319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Места для отдыха и купания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7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E4A1E" w:rsidRPr="009E4A1E" w:rsidTr="00D4346E">
        <w:trPr>
          <w:trHeight w:val="497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Места, запрещенные для купания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Образовательные организации и прилегающие к ним территории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4A1E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4A1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98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9E4A1E">
              <w:rPr>
                <w:rFonts w:ascii="Times New Roman" w:hAnsi="Times New Roman" w:cs="Times New Roman"/>
                <w:b/>
              </w:rPr>
              <w:t>257</w:t>
            </w:r>
          </w:p>
        </w:tc>
      </w:tr>
      <w:tr w:rsidR="009E4A1E" w:rsidRPr="009E4A1E" w:rsidTr="00D4346E">
        <w:trPr>
          <w:trHeight w:val="510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Недостроенные и заброшенные здания и сооружения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96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238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Чердачные и подвальные помещения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73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74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415</w:t>
            </w:r>
          </w:p>
        </w:tc>
      </w:tr>
      <w:tr w:rsidR="009E4A1E" w:rsidRPr="009E4A1E" w:rsidTr="00D4346E">
        <w:trPr>
          <w:trHeight w:val="321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иные объекты (указать) 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(</w:t>
            </w:r>
            <w:r w:rsidRPr="009E4A1E">
              <w:rPr>
                <w:rFonts w:ascii="Times New Roman" w:hAnsi="Times New Roman" w:cs="Times New Roman"/>
              </w:rPr>
              <w:t xml:space="preserve">тепловые колодцы, канализационные септики, колодцы ХВС, признанные </w:t>
            </w:r>
            <w:r w:rsidRPr="009E4A1E">
              <w:rPr>
                <w:rFonts w:ascii="Times New Roman" w:hAnsi="Times New Roman" w:cs="Times New Roman"/>
              </w:rPr>
              <w:lastRenderedPageBreak/>
              <w:t>аварийными и подлежащими сносу многоквартирные дома)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175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253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Категории нарушений, выявленных в ходе проведения проверок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365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483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отсутствие освещения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47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отсутствие или нарушение </w:t>
            </w:r>
            <w:proofErr w:type="spellStart"/>
            <w:r w:rsidRPr="009E4A1E">
              <w:rPr>
                <w:rFonts w:ascii="Times New Roman" w:hAnsi="Times New Roman" w:cs="Times New Roman"/>
              </w:rPr>
              <w:t>периметрального</w:t>
            </w:r>
            <w:proofErr w:type="spellEnd"/>
            <w:r w:rsidRPr="009E4A1E">
              <w:rPr>
                <w:rFonts w:ascii="Times New Roman" w:hAnsi="Times New Roman" w:cs="Times New Roman"/>
              </w:rPr>
              <w:t xml:space="preserve"> ограждения (для детских организаций стационарного типа)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E4A1E">
              <w:rPr>
                <w:rFonts w:ascii="Times New Roman" w:hAnsi="Times New Roman" w:cs="Times New Roman"/>
              </w:rPr>
              <w:t>травмоопасное</w:t>
            </w:r>
            <w:proofErr w:type="spellEnd"/>
            <w:r w:rsidRPr="009E4A1E">
              <w:rPr>
                <w:rFonts w:ascii="Times New Roman" w:hAnsi="Times New Roman" w:cs="Times New Roman"/>
              </w:rPr>
              <w:t xml:space="preserve"> оборудование на детских и спортивных площадках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4A1E" w:rsidRPr="009E4A1E" w:rsidTr="00D4346E">
        <w:trPr>
          <w:trHeight w:val="267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открытые канализационные люки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провалы грунта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9E4A1E" w:rsidRPr="009E4A1E" w:rsidTr="00D4346E">
        <w:trPr>
          <w:trHeight w:val="352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свободный доступ на объекты повышенного риска (крыши, заброшенные объекты)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271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353</w:t>
            </w:r>
          </w:p>
        </w:tc>
      </w:tr>
      <w:tr w:rsidR="009E4A1E" w:rsidRPr="009E4A1E" w:rsidTr="00D4346E">
        <w:trPr>
          <w:trHeight w:val="58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Иное (указать)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(замусоренные территории, разрушенные группы построек, канализационные люки, не закреплена скамья для отдыха, нарушение требований пожарной безопасности)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  <w:p w:rsidR="009E4A1E" w:rsidRPr="009E4A1E" w:rsidRDefault="009E4A1E" w:rsidP="009E4A1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E4A1E" w:rsidRPr="009E4A1E" w:rsidRDefault="009E4A1E" w:rsidP="009E4A1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17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34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Количество объектов, на которых выявленные недостатки устранены силами участников Акции всего, 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Окошена трава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Отремонтированы конструкции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 xml:space="preserve">5 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Убрана территория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7</w:t>
            </w:r>
          </w:p>
          <w:p w:rsidR="009E4A1E" w:rsidRPr="009E4A1E" w:rsidRDefault="009E4A1E" w:rsidP="009E4A1E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7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9E4A1E" w:rsidRPr="009E4A1E" w:rsidTr="00D4346E">
        <w:trPr>
          <w:trHeight w:val="647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Установлены предупреждающие знаки (конструкции, ограждения)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14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Оборудованы места для безопасного купания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trHeight w:val="237"/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иное (указать) (убраны и окошены территории)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обращений Уполномоченного по правам ребенка по факту выявленных нарушений в уполномоченные органы с целью устранения недостатков: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органы прокуратуры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органы управления образованием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администрации муниципальных образований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ГИБДД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в подразделения </w:t>
            </w:r>
            <w:proofErr w:type="spellStart"/>
            <w:r w:rsidRPr="009E4A1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подразделения МЧС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иные органы и организации (указать)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полученных ответов об устранении недостатков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органов прокуратуры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органов управления образованием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администраций муниципальных образований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ГИБДД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из подразделений </w:t>
            </w:r>
            <w:proofErr w:type="spellStart"/>
            <w:r w:rsidRPr="009E4A1E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подразделений МЧС России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9E4A1E" w:rsidRPr="009E4A1E" w:rsidRDefault="009E4A1E" w:rsidP="009E4A1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из иных органов и организаций (указать)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повторных проверок объектов с целью контроля устранения недостатков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54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объектов, на которых в ходе повторных проверок выявлены сохранившиеся недостатки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9E4A1E" w:rsidRPr="009E4A1E" w:rsidTr="00D4346E">
        <w:trPr>
          <w:trHeight w:val="738"/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lastRenderedPageBreak/>
              <w:t>9.*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Иные формы работы с населением (в том числе с несовершеннолетними) в рамках акции «Безопасность детства»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Открыты ли горячие линии Уполномоченного по правам ребенка для получения информации от населения о случаях возникновения угрозы для жизни и здоровья несовершеннолетних в период летних школьных каникул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053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9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актуальных информаций, поступивших на горячую линию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Количество детей</w:t>
            </w:r>
          </w:p>
        </w:tc>
        <w:tc>
          <w:tcPr>
            <w:tcW w:w="255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травмированных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621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погибших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4A1E" w:rsidRPr="009E4A1E" w:rsidTr="00D4346E">
        <w:trPr>
          <w:jc w:val="center"/>
        </w:trPr>
        <w:tc>
          <w:tcPr>
            <w:tcW w:w="562" w:type="dxa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9E4A1E">
              <w:rPr>
                <w:rFonts w:ascii="Times New Roman" w:hAnsi="Times New Roman" w:cs="Times New Roman"/>
              </w:rPr>
              <w:t>т.ч</w:t>
            </w:r>
            <w:proofErr w:type="spellEnd"/>
            <w:r w:rsidRPr="009E4A1E">
              <w:rPr>
                <w:rFonts w:ascii="Times New Roman" w:hAnsi="Times New Roman" w:cs="Times New Roman"/>
              </w:rPr>
              <w:t>. выпавших из окна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9E4A1E" w:rsidRPr="009E4A1E" w:rsidTr="00D4346E">
        <w:trPr>
          <w:trHeight w:val="1832"/>
          <w:jc w:val="center"/>
        </w:trPr>
        <w:tc>
          <w:tcPr>
            <w:tcW w:w="562" w:type="dxa"/>
            <w:vAlign w:val="center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13.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Проблемы, возникшие при проведении акции</w:t>
            </w:r>
          </w:p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(при наличии отразить в приложении к таблице)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A1E">
              <w:rPr>
                <w:rFonts w:ascii="Times New Roman" w:hAnsi="Times New Roman" w:cs="Times New Roman"/>
              </w:rPr>
              <w:t>Отпускной период связан с массовым выездом жителей региона за пределы Камчатского края семей с детьми, в связи с этим снижается общественная активность.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</w:rPr>
              <w:t>Отсутствие достаточного финансирования органов местного самоуправления (</w:t>
            </w:r>
            <w:proofErr w:type="spellStart"/>
            <w:r w:rsidRPr="009E4A1E">
              <w:rPr>
                <w:rFonts w:ascii="Times New Roman" w:hAnsi="Times New Roman" w:cs="Times New Roman"/>
              </w:rPr>
              <w:t>дотационность</w:t>
            </w:r>
            <w:proofErr w:type="spellEnd"/>
            <w:r w:rsidRPr="009E4A1E">
              <w:rPr>
                <w:rFonts w:ascii="Times New Roman" w:hAnsi="Times New Roman" w:cs="Times New Roman"/>
              </w:rPr>
              <w:t xml:space="preserve"> бюджетов) для разбора заброшенных строений, оперативного устранения выявленных недостатков</w:t>
            </w:r>
          </w:p>
        </w:tc>
        <w:tc>
          <w:tcPr>
            <w:tcW w:w="3053" w:type="dxa"/>
            <w:shd w:val="clear" w:color="auto" w:fill="auto"/>
          </w:tcPr>
          <w:p w:rsidR="009E4A1E" w:rsidRPr="009E4A1E" w:rsidRDefault="009E4A1E" w:rsidP="009E4A1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A1E">
              <w:rPr>
                <w:rFonts w:ascii="Times New Roman" w:hAnsi="Times New Roman" w:cs="Times New Roman"/>
              </w:rPr>
              <w:t>Отсутствие достаточного финансирования органов местного самоуправления (</w:t>
            </w:r>
            <w:proofErr w:type="spellStart"/>
            <w:r w:rsidRPr="009E4A1E">
              <w:rPr>
                <w:rFonts w:ascii="Times New Roman" w:hAnsi="Times New Roman" w:cs="Times New Roman"/>
              </w:rPr>
              <w:t>дотационность</w:t>
            </w:r>
            <w:proofErr w:type="spellEnd"/>
            <w:r w:rsidRPr="009E4A1E">
              <w:rPr>
                <w:rFonts w:ascii="Times New Roman" w:hAnsi="Times New Roman" w:cs="Times New Roman"/>
              </w:rPr>
              <w:t xml:space="preserve"> бюджетов) для разбора заброшенных строений, оперативного устранения выявленных недостатков</w:t>
            </w:r>
          </w:p>
        </w:tc>
        <w:tc>
          <w:tcPr>
            <w:tcW w:w="992" w:type="dxa"/>
          </w:tcPr>
          <w:p w:rsidR="009E4A1E" w:rsidRPr="009E4A1E" w:rsidRDefault="009E4A1E" w:rsidP="009E4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E4A1E" w:rsidRDefault="009E4A1E" w:rsidP="009E4A1E">
      <w:pPr>
        <w:shd w:val="clear" w:color="auto" w:fill="FFFFFF"/>
        <w:tabs>
          <w:tab w:val="left" w:pos="142"/>
        </w:tabs>
        <w:spacing w:line="276" w:lineRule="auto"/>
        <w:jc w:val="both"/>
        <w:rPr>
          <w:sz w:val="20"/>
          <w:szCs w:val="20"/>
        </w:rPr>
      </w:pPr>
    </w:p>
    <w:p w:rsidR="009E4A1E" w:rsidRPr="00F4674D" w:rsidRDefault="009E4A1E" w:rsidP="009E4A1E">
      <w:pPr>
        <w:rPr>
          <w:sz w:val="20"/>
          <w:szCs w:val="20"/>
        </w:rPr>
      </w:pPr>
    </w:p>
    <w:p w:rsidR="009E4A1E" w:rsidRPr="00F4674D" w:rsidRDefault="009E4A1E" w:rsidP="009E4A1E">
      <w:pPr>
        <w:rPr>
          <w:sz w:val="20"/>
          <w:szCs w:val="20"/>
        </w:rPr>
      </w:pPr>
    </w:p>
    <w:p w:rsidR="009E4A1E" w:rsidRDefault="009E4A1E" w:rsidP="009E4A1E">
      <w:pPr>
        <w:rPr>
          <w:sz w:val="20"/>
          <w:szCs w:val="20"/>
        </w:rPr>
      </w:pPr>
    </w:p>
    <w:p w:rsidR="009E4A1E" w:rsidRPr="006316E5" w:rsidRDefault="009E4A1E" w:rsidP="00631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E4A1E" w:rsidRPr="006316E5" w:rsidSect="009E4A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F2288"/>
    <w:multiLevelType w:val="multilevel"/>
    <w:tmpl w:val="DF1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93"/>
    <w:rsid w:val="00053AEA"/>
    <w:rsid w:val="00072E13"/>
    <w:rsid w:val="00087157"/>
    <w:rsid w:val="001234C1"/>
    <w:rsid w:val="00124460"/>
    <w:rsid w:val="00125397"/>
    <w:rsid w:val="0013121D"/>
    <w:rsid w:val="00145AE8"/>
    <w:rsid w:val="002334F0"/>
    <w:rsid w:val="002D7E9E"/>
    <w:rsid w:val="00307238"/>
    <w:rsid w:val="0032238F"/>
    <w:rsid w:val="003708DF"/>
    <w:rsid w:val="00464576"/>
    <w:rsid w:val="004F00E7"/>
    <w:rsid w:val="004F1972"/>
    <w:rsid w:val="00523D59"/>
    <w:rsid w:val="005F62B0"/>
    <w:rsid w:val="00610618"/>
    <w:rsid w:val="00614C93"/>
    <w:rsid w:val="006316E5"/>
    <w:rsid w:val="00663D4E"/>
    <w:rsid w:val="00670B33"/>
    <w:rsid w:val="0067481C"/>
    <w:rsid w:val="00702AB0"/>
    <w:rsid w:val="00797F5A"/>
    <w:rsid w:val="007B0356"/>
    <w:rsid w:val="007E2C7F"/>
    <w:rsid w:val="00835EBB"/>
    <w:rsid w:val="009842AE"/>
    <w:rsid w:val="009E4A1E"/>
    <w:rsid w:val="00A01F8A"/>
    <w:rsid w:val="00A52D8E"/>
    <w:rsid w:val="00A651D9"/>
    <w:rsid w:val="00B232D5"/>
    <w:rsid w:val="00BD6324"/>
    <w:rsid w:val="00BF5C2C"/>
    <w:rsid w:val="00C2099D"/>
    <w:rsid w:val="00CC0362"/>
    <w:rsid w:val="00F9238D"/>
    <w:rsid w:val="00F9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E5D88-719A-48C9-81AD-6A26ACB87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1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51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47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3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22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Тюменцев</dc:creator>
  <cp:keywords/>
  <dc:description/>
  <cp:lastModifiedBy>Палата Уполномоченных</cp:lastModifiedBy>
  <cp:revision>8</cp:revision>
  <cp:lastPrinted>2019-09-30T21:57:00Z</cp:lastPrinted>
  <dcterms:created xsi:type="dcterms:W3CDTF">2019-09-30T21:32:00Z</dcterms:created>
  <dcterms:modified xsi:type="dcterms:W3CDTF">2019-10-01T04:52:00Z</dcterms:modified>
</cp:coreProperties>
</file>